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DD40" w14:textId="30C259AD" w:rsidR="00C953A2" w:rsidRDefault="00CB2D7F" w:rsidP="00CB2D7F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6A5FD3EA" wp14:editId="6BC10439">
            <wp:extent cx="709612" cy="878567"/>
            <wp:effectExtent l="0" t="0" r="0" b="0"/>
            <wp:docPr id="625042147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042147" name="Picture 1" descr="A picture containing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33" cy="9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6C1079">
        <w:rPr>
          <w:b/>
          <w:bCs/>
        </w:rPr>
        <w:t>Workshop Policies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noProof/>
        </w:rPr>
        <w:drawing>
          <wp:inline distT="0" distB="0" distL="0" distR="0" wp14:anchorId="10A6BA1F" wp14:editId="673EEE7B">
            <wp:extent cx="709612" cy="878567"/>
            <wp:effectExtent l="0" t="0" r="0" b="0"/>
            <wp:docPr id="1009560812" name="Picture 100956081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042147" name="Picture 1" descr="A picture containing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33" cy="9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6A4B3" w14:textId="6A19EDAB" w:rsidR="00C609E2" w:rsidRDefault="00C609E2" w:rsidP="006C1079">
      <w:pPr>
        <w:jc w:val="center"/>
        <w:rPr>
          <w:b/>
          <w:bCs/>
        </w:rPr>
      </w:pPr>
      <w:r>
        <w:rPr>
          <w:b/>
          <w:bCs/>
        </w:rPr>
        <w:t>Live Wright Now, LLC</w:t>
      </w:r>
    </w:p>
    <w:p w14:paraId="34F0CC65" w14:textId="3FDFDACD" w:rsidR="006C1079" w:rsidRDefault="006C1079" w:rsidP="006C1079">
      <w:pPr>
        <w:rPr>
          <w:b/>
          <w:bCs/>
        </w:rPr>
      </w:pPr>
      <w:r>
        <w:rPr>
          <w:b/>
          <w:bCs/>
        </w:rPr>
        <w:t>Fees</w:t>
      </w:r>
      <w:r w:rsidR="00A82D63">
        <w:rPr>
          <w:b/>
          <w:bCs/>
        </w:rPr>
        <w:t>, Cancellations, and Refunds</w:t>
      </w:r>
    </w:p>
    <w:p w14:paraId="411794CE" w14:textId="77777777" w:rsidR="00FC22AB" w:rsidRPr="00FC22AB" w:rsidRDefault="00FC22AB" w:rsidP="00A82D63">
      <w:pPr>
        <w:pStyle w:val="ListParagraph"/>
        <w:numPr>
          <w:ilvl w:val="0"/>
          <w:numId w:val="1"/>
        </w:numPr>
        <w:rPr>
          <w:b/>
          <w:bCs/>
        </w:rPr>
      </w:pPr>
      <w:r>
        <w:t>Payment of fees is expected at the time of registration</w:t>
      </w:r>
    </w:p>
    <w:p w14:paraId="660EC471" w14:textId="1961A6B4" w:rsidR="00FC22AB" w:rsidRPr="003E1C68" w:rsidRDefault="003E1C68" w:rsidP="00FC22AB">
      <w:pPr>
        <w:pStyle w:val="ListParagraph"/>
        <w:numPr>
          <w:ilvl w:val="1"/>
          <w:numId w:val="1"/>
        </w:numPr>
        <w:rPr>
          <w:b/>
          <w:bCs/>
        </w:rPr>
      </w:pPr>
      <w:r>
        <w:t>Costs of programs may vary, and will be clearly listed on all advertisements and communications</w:t>
      </w:r>
    </w:p>
    <w:p w14:paraId="3F807878" w14:textId="25BC86C2" w:rsidR="003E1C68" w:rsidRPr="005E76D7" w:rsidRDefault="003E1C68" w:rsidP="00FC22AB">
      <w:pPr>
        <w:pStyle w:val="ListParagraph"/>
        <w:numPr>
          <w:ilvl w:val="1"/>
          <w:numId w:val="1"/>
        </w:numPr>
        <w:rPr>
          <w:b/>
          <w:bCs/>
        </w:rPr>
      </w:pPr>
      <w:r>
        <w:t>Presenter’s books or publications may be available at a discounted rate</w:t>
      </w:r>
      <w:r w:rsidR="005E76D7">
        <w:t xml:space="preserve"> at in-person presentations while supplies last</w:t>
      </w:r>
    </w:p>
    <w:p w14:paraId="79244B90" w14:textId="75383AB7" w:rsidR="005E76D7" w:rsidRPr="00FC22AB" w:rsidRDefault="005E76D7" w:rsidP="005E76D7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Orders that require shipment may incur an additional fee for shipping and handling, which will be made known at the time of purchase </w:t>
      </w:r>
    </w:p>
    <w:p w14:paraId="006EAADC" w14:textId="000E5676" w:rsidR="00A82D63" w:rsidRPr="006C1079" w:rsidRDefault="00A82D63" w:rsidP="00A82D63">
      <w:pPr>
        <w:pStyle w:val="ListParagraph"/>
        <w:numPr>
          <w:ilvl w:val="0"/>
          <w:numId w:val="1"/>
        </w:numPr>
        <w:rPr>
          <w:b/>
          <w:bCs/>
        </w:rPr>
      </w:pPr>
      <w:r>
        <w:t>Cancellation is done by sending an email to</w:t>
      </w:r>
      <w:r w:rsidR="00443526">
        <w:t>: Sarah@DrSarahEWright.com</w:t>
      </w:r>
    </w:p>
    <w:p w14:paraId="309D7D49" w14:textId="77777777" w:rsidR="00A82D63" w:rsidRPr="006C1079" w:rsidRDefault="00A82D63" w:rsidP="00D75E28">
      <w:pPr>
        <w:pStyle w:val="ListParagraph"/>
        <w:numPr>
          <w:ilvl w:val="1"/>
          <w:numId w:val="1"/>
        </w:numPr>
        <w:rPr>
          <w:b/>
          <w:bCs/>
        </w:rPr>
      </w:pPr>
      <w:r>
        <w:t>Date of the cancellation will be determined by the time stamp on the email</w:t>
      </w:r>
    </w:p>
    <w:p w14:paraId="35F2AEFF" w14:textId="648D2E49" w:rsidR="006C1079" w:rsidRDefault="006C1079" w:rsidP="006C1079">
      <w:pPr>
        <w:pStyle w:val="ListParagraph"/>
        <w:numPr>
          <w:ilvl w:val="0"/>
          <w:numId w:val="1"/>
        </w:numPr>
      </w:pPr>
      <w:r>
        <w:t>Full refund offered if cancellation is made at least 7 days prior to the scheduled event</w:t>
      </w:r>
    </w:p>
    <w:p w14:paraId="295D47E0" w14:textId="1DC7FEA0" w:rsidR="006C1079" w:rsidRDefault="006C1079" w:rsidP="006C1079">
      <w:pPr>
        <w:pStyle w:val="ListParagraph"/>
        <w:numPr>
          <w:ilvl w:val="0"/>
          <w:numId w:val="1"/>
        </w:numPr>
      </w:pPr>
      <w:r>
        <w:t>50% refund offered if cancellation is made between 2 -7 days prior to the scheduled event</w:t>
      </w:r>
    </w:p>
    <w:p w14:paraId="735250E2" w14:textId="75A584A6" w:rsidR="006C1079" w:rsidRDefault="006C1079" w:rsidP="006C1079">
      <w:pPr>
        <w:pStyle w:val="ListParagraph"/>
        <w:numPr>
          <w:ilvl w:val="0"/>
          <w:numId w:val="1"/>
        </w:numPr>
      </w:pPr>
      <w:r>
        <w:t>25% refund if cancellation is made the day before the event</w:t>
      </w:r>
    </w:p>
    <w:p w14:paraId="223E0B90" w14:textId="0BDBBC3B" w:rsidR="006C1079" w:rsidRDefault="006C1079" w:rsidP="006C1079">
      <w:pPr>
        <w:pStyle w:val="ListParagraph"/>
        <w:numPr>
          <w:ilvl w:val="0"/>
          <w:numId w:val="1"/>
        </w:numPr>
      </w:pPr>
      <w:r>
        <w:t>No refund if cancelling the day of the event or if the event is not attended</w:t>
      </w:r>
    </w:p>
    <w:p w14:paraId="17ED9A3E" w14:textId="394F9D19" w:rsidR="00D72267" w:rsidRDefault="00D72267" w:rsidP="006C1079">
      <w:pPr>
        <w:pStyle w:val="ListParagraph"/>
        <w:numPr>
          <w:ilvl w:val="0"/>
          <w:numId w:val="1"/>
        </w:numPr>
      </w:pPr>
      <w:r>
        <w:t xml:space="preserve">If registration cost included a copy of the presenter’s book and </w:t>
      </w:r>
      <w:r w:rsidR="002B1BA0">
        <w:t xml:space="preserve">cancellation has been requested </w:t>
      </w:r>
      <w:r w:rsidR="002B1BA0">
        <w:rPr>
          <w:u w:val="single"/>
        </w:rPr>
        <w:t>after</w:t>
      </w:r>
      <w:r w:rsidR="002B1BA0">
        <w:t xml:space="preserve"> the book has been sent, the cost of that book and any shipping and handling </w:t>
      </w:r>
      <w:r w:rsidR="00EC0A01">
        <w:t>costs will be deducted from the refund</w:t>
      </w:r>
      <w:r w:rsidR="00F83A5A">
        <w:t xml:space="preserve"> amount</w:t>
      </w:r>
    </w:p>
    <w:p w14:paraId="74697C70" w14:textId="706BC5D0" w:rsidR="006C1079" w:rsidRDefault="006C1079" w:rsidP="006C1079">
      <w:pPr>
        <w:pStyle w:val="ListParagraph"/>
        <w:numPr>
          <w:ilvl w:val="0"/>
          <w:numId w:val="1"/>
        </w:numPr>
      </w:pPr>
      <w:r>
        <w:t xml:space="preserve">Exceptions will be made with documentation of illness or </w:t>
      </w:r>
      <w:r w:rsidR="00C053D5">
        <w:t>catastrophe</w:t>
      </w:r>
    </w:p>
    <w:p w14:paraId="2A9D7C49" w14:textId="3ECFCBE3" w:rsidR="00A82D63" w:rsidRDefault="00DC7249" w:rsidP="00A82D63">
      <w:pPr>
        <w:rPr>
          <w:b/>
          <w:bCs/>
        </w:rPr>
      </w:pPr>
      <w:r>
        <w:rPr>
          <w:b/>
          <w:bCs/>
        </w:rPr>
        <w:t>Complaints and Disputes related to Programming</w:t>
      </w:r>
    </w:p>
    <w:p w14:paraId="25F77354" w14:textId="68D44FF1" w:rsidR="00117F64" w:rsidRPr="00117F64" w:rsidRDefault="0042191D" w:rsidP="00901F5A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Complaints or concerns pertaining to any aspect of a presentation or the content shared </w:t>
      </w:r>
      <w:r w:rsidR="00117F64">
        <w:t xml:space="preserve">therein </w:t>
      </w:r>
      <w:r>
        <w:t xml:space="preserve">are taken </w:t>
      </w:r>
      <w:r w:rsidR="00117F64">
        <w:t>with the utmost consideration and respect</w:t>
      </w:r>
    </w:p>
    <w:p w14:paraId="2D2E992B" w14:textId="61481917" w:rsidR="00901F5A" w:rsidRPr="00B95DB3" w:rsidRDefault="00901F5A" w:rsidP="00901F5A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The aggrieved person will first try to informally resolve the situation by contacting </w:t>
      </w:r>
      <w:r w:rsidR="00E5120D">
        <w:t>Dr. Sarah E. Wright or the event facilitator with the issue concerning the training, its delivery, the evaluation, location, or technological issue</w:t>
      </w:r>
      <w:r w:rsidR="00BC77F3">
        <w:t>.</w:t>
      </w:r>
    </w:p>
    <w:p w14:paraId="169F10DD" w14:textId="6C823A2F" w:rsidR="00B95DB3" w:rsidRPr="00355E69" w:rsidRDefault="00B95DB3" w:rsidP="00901F5A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If the aggrieved person is not satisfied with the resolution through informal means, the grievance shall be </w:t>
      </w:r>
      <w:r w:rsidR="009E49A9">
        <w:t xml:space="preserve">submitted in writing to Dr. Sarah E. Wright or the event organizer. </w:t>
      </w:r>
    </w:p>
    <w:p w14:paraId="11FCA061" w14:textId="34BFA8B8" w:rsidR="00355E69" w:rsidRPr="007A79B8" w:rsidRDefault="00355E69" w:rsidP="00355E69">
      <w:pPr>
        <w:pStyle w:val="ListParagraph"/>
        <w:numPr>
          <w:ilvl w:val="1"/>
          <w:numId w:val="5"/>
        </w:numPr>
        <w:rPr>
          <w:b/>
          <w:bCs/>
        </w:rPr>
      </w:pPr>
      <w:r>
        <w:t xml:space="preserve">Dr. Sarah E. Wright or the event organizer will then </w:t>
      </w:r>
      <w:r w:rsidR="00A42F7F">
        <w:t xml:space="preserve">inform and </w:t>
      </w:r>
      <w:r>
        <w:t xml:space="preserve">consult with the appropriate personnel at the </w:t>
      </w:r>
      <w:r w:rsidR="00BC77F3">
        <w:t>organization(s) approving the course to find a fair method of resolving the grievance.</w:t>
      </w:r>
    </w:p>
    <w:p w14:paraId="35DF0EA1" w14:textId="377F224B" w:rsidR="007A79B8" w:rsidRPr="00665FDD" w:rsidRDefault="007A79B8" w:rsidP="007A79B8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If the aggrieved person is not satisfied with the solutions offered, then they will be directed to </w:t>
      </w:r>
      <w:r w:rsidR="006007B9">
        <w:t>share</w:t>
      </w:r>
      <w:r w:rsidR="001D67E4">
        <w:t xml:space="preserve"> </w:t>
      </w:r>
      <w:r>
        <w:t xml:space="preserve">their </w:t>
      </w:r>
      <w:r w:rsidR="001D67E4">
        <w:t xml:space="preserve">written </w:t>
      </w:r>
      <w:r>
        <w:t xml:space="preserve">grievance </w:t>
      </w:r>
      <w:r w:rsidR="001D67E4">
        <w:t>a</w:t>
      </w:r>
      <w:r>
        <w:t xml:space="preserve">nd </w:t>
      </w:r>
      <w:r w:rsidR="003144B5">
        <w:t xml:space="preserve">will be given the necessary information to </w:t>
      </w:r>
      <w:r>
        <w:t>contact the appropriate organization</w:t>
      </w:r>
      <w:r w:rsidR="003144B5">
        <w:t xml:space="preserve"> or state agency. </w:t>
      </w:r>
    </w:p>
    <w:p w14:paraId="505A4ACD" w14:textId="43D4AD84" w:rsidR="00665FDD" w:rsidRPr="00EC11B6" w:rsidRDefault="00665FDD" w:rsidP="00665FDD">
      <w:pPr>
        <w:pStyle w:val="ListParagraph"/>
        <w:numPr>
          <w:ilvl w:val="1"/>
          <w:numId w:val="5"/>
        </w:numPr>
        <w:rPr>
          <w:b/>
          <w:bCs/>
        </w:rPr>
      </w:pPr>
      <w:r>
        <w:t>Dr. Sarah E. Wright agrees to abide by any decisions</w:t>
      </w:r>
      <w:r w:rsidR="00EC11B6">
        <w:t xml:space="preserve"> regarding resolution of the grievance</w:t>
      </w:r>
    </w:p>
    <w:p w14:paraId="24396B18" w14:textId="0A9B5136" w:rsidR="00EC11B6" w:rsidRPr="00EC11B6" w:rsidRDefault="00EC11B6" w:rsidP="00EC11B6">
      <w:pPr>
        <w:pStyle w:val="ListParagraph"/>
        <w:numPr>
          <w:ilvl w:val="0"/>
          <w:numId w:val="5"/>
        </w:numPr>
        <w:rPr>
          <w:b/>
          <w:bCs/>
        </w:rPr>
      </w:pPr>
      <w:r>
        <w:t>Contact information:</w:t>
      </w:r>
    </w:p>
    <w:p w14:paraId="75BEFF8B" w14:textId="27D83E46" w:rsidR="00EC11B6" w:rsidRPr="00EC11B6" w:rsidRDefault="00EC11B6" w:rsidP="00EC11B6">
      <w:pPr>
        <w:pStyle w:val="ListParagraph"/>
        <w:numPr>
          <w:ilvl w:val="1"/>
          <w:numId w:val="5"/>
        </w:numPr>
        <w:rPr>
          <w:b/>
          <w:bCs/>
        </w:rPr>
      </w:pPr>
      <w:r>
        <w:lastRenderedPageBreak/>
        <w:t xml:space="preserve">Dr Sarah E. Wright: </w:t>
      </w:r>
      <w:hyperlink r:id="rId8" w:history="1">
        <w:r w:rsidRPr="001329B9">
          <w:rPr>
            <w:rStyle w:val="Hyperlink"/>
          </w:rPr>
          <w:t>Sarah@DrSarahEWright.com</w:t>
        </w:r>
      </w:hyperlink>
      <w:r w:rsidR="00EE4FD0">
        <w:rPr>
          <w:rStyle w:val="Hyperlink"/>
          <w:u w:val="none"/>
        </w:rPr>
        <w:t xml:space="preserve"> </w:t>
      </w:r>
      <w:r w:rsidR="00EE4FD0" w:rsidRPr="00EE4FD0">
        <w:rPr>
          <w:rStyle w:val="Hyperlink"/>
          <w:color w:val="000000" w:themeColor="text1"/>
          <w:u w:val="none"/>
        </w:rPr>
        <w:t>or 803.658.8898</w:t>
      </w:r>
    </w:p>
    <w:p w14:paraId="6CD4BC4F" w14:textId="1F07E6DE" w:rsidR="00EC11B6" w:rsidRPr="00EC11B6" w:rsidRDefault="00170499" w:rsidP="00EC11B6">
      <w:pPr>
        <w:pStyle w:val="ListParagraph"/>
        <w:numPr>
          <w:ilvl w:val="1"/>
          <w:numId w:val="5"/>
        </w:numPr>
        <w:rPr>
          <w:b/>
          <w:bCs/>
        </w:rPr>
      </w:pPr>
      <w:r>
        <w:t>American Association of Sexuality Educators, Counselors, and Therapists (</w:t>
      </w:r>
      <w:r w:rsidR="00EC11B6">
        <w:t>AASECT</w:t>
      </w:r>
      <w:r>
        <w:t>)</w:t>
      </w:r>
      <w:r w:rsidR="00EC11B6">
        <w:t xml:space="preserve"> – </w:t>
      </w:r>
      <w:hyperlink r:id="rId9" w:history="1">
        <w:r w:rsidR="00EC11B6" w:rsidRPr="001329B9">
          <w:rPr>
            <w:rStyle w:val="Hyperlink"/>
          </w:rPr>
          <w:t>ce@aasect.org</w:t>
        </w:r>
      </w:hyperlink>
    </w:p>
    <w:p w14:paraId="4D278D9D" w14:textId="2E84E441" w:rsidR="00EC11B6" w:rsidRPr="009A2234" w:rsidRDefault="004C4150" w:rsidP="00EC11B6">
      <w:pPr>
        <w:pStyle w:val="ListParagraph"/>
        <w:numPr>
          <w:ilvl w:val="1"/>
          <w:numId w:val="5"/>
        </w:numPr>
        <w:rPr>
          <w:b/>
          <w:bCs/>
        </w:rPr>
      </w:pPr>
      <w:r>
        <w:t>Nation</w:t>
      </w:r>
      <w:r w:rsidR="00170499">
        <w:t xml:space="preserve">al Board for Certified Counselors (NBCC) - </w:t>
      </w:r>
      <w:hyperlink r:id="rId10" w:history="1">
        <w:r w:rsidR="00170499" w:rsidRPr="001329B9">
          <w:rPr>
            <w:rStyle w:val="Hyperlink"/>
          </w:rPr>
          <w:t>nbcc@nbcc.org</w:t>
        </w:r>
      </w:hyperlink>
      <w:r w:rsidR="00170499">
        <w:t xml:space="preserve"> </w:t>
      </w:r>
    </w:p>
    <w:p w14:paraId="07219583" w14:textId="623771A1" w:rsidR="009C6CA6" w:rsidRDefault="009C6CA6" w:rsidP="00A82D63">
      <w:pPr>
        <w:rPr>
          <w:b/>
          <w:bCs/>
        </w:rPr>
      </w:pPr>
      <w:r>
        <w:rPr>
          <w:b/>
          <w:bCs/>
        </w:rPr>
        <w:t xml:space="preserve">Attendance </w:t>
      </w:r>
    </w:p>
    <w:p w14:paraId="54645BF7" w14:textId="3F8F304E" w:rsidR="009C6CA6" w:rsidRDefault="009C6CA6" w:rsidP="009C6CA6">
      <w:pPr>
        <w:pStyle w:val="ListParagraph"/>
        <w:numPr>
          <w:ilvl w:val="0"/>
          <w:numId w:val="3"/>
        </w:numPr>
      </w:pPr>
      <w:r>
        <w:t xml:space="preserve">Attendance will be monitored via </w:t>
      </w:r>
      <w:r w:rsidR="009400B3">
        <w:t>participants signing in and out of each session</w:t>
      </w:r>
    </w:p>
    <w:p w14:paraId="0550A248" w14:textId="1436B0C4" w:rsidR="009400B3" w:rsidRDefault="009400B3" w:rsidP="009C6CA6">
      <w:pPr>
        <w:pStyle w:val="ListParagraph"/>
        <w:numPr>
          <w:ilvl w:val="0"/>
          <w:numId w:val="3"/>
        </w:numPr>
      </w:pPr>
      <w:r>
        <w:t>Virtual attendance will be confirmed by video observation</w:t>
      </w:r>
    </w:p>
    <w:p w14:paraId="47F89380" w14:textId="1D06613C" w:rsidR="009400B3" w:rsidRDefault="009400B3" w:rsidP="009400B3">
      <w:pPr>
        <w:pStyle w:val="ListParagraph"/>
        <w:numPr>
          <w:ilvl w:val="1"/>
          <w:numId w:val="3"/>
        </w:numPr>
      </w:pPr>
      <w:r>
        <w:t>Participants will be informed about the expectation of having video on during presentation</w:t>
      </w:r>
      <w:r w:rsidR="0025541E">
        <w:t xml:space="preserve"> upon enrollment</w:t>
      </w:r>
    </w:p>
    <w:p w14:paraId="4BD28A8E" w14:textId="618B2421" w:rsidR="00FD67F6" w:rsidRDefault="00FD67F6" w:rsidP="00FD67F6">
      <w:pPr>
        <w:pStyle w:val="ListParagraph"/>
        <w:numPr>
          <w:ilvl w:val="0"/>
          <w:numId w:val="3"/>
        </w:numPr>
      </w:pPr>
      <w:r>
        <w:t xml:space="preserve">Attendance is not required for anyone not seeking CE verification or a certificate of attendance </w:t>
      </w:r>
    </w:p>
    <w:p w14:paraId="03A22A91" w14:textId="04920EA9" w:rsidR="007B3A09" w:rsidRDefault="007B3A09" w:rsidP="007B3A09">
      <w:pPr>
        <w:rPr>
          <w:b/>
          <w:bCs/>
        </w:rPr>
      </w:pPr>
      <w:r>
        <w:rPr>
          <w:b/>
          <w:bCs/>
        </w:rPr>
        <w:t>Record Keeping</w:t>
      </w:r>
    </w:p>
    <w:p w14:paraId="78F3F38B" w14:textId="17B5AA27" w:rsidR="007B3A09" w:rsidRPr="007B3A09" w:rsidRDefault="007B3A09" w:rsidP="007B3A09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All records will be maintained digitally for a period of at least </w:t>
      </w:r>
      <w:r w:rsidR="00C33899">
        <w:t>7</w:t>
      </w:r>
      <w:r>
        <w:t xml:space="preserve"> years to include:</w:t>
      </w:r>
    </w:p>
    <w:p w14:paraId="32718E52" w14:textId="1BFAA28B" w:rsidR="007B3A09" w:rsidRPr="007B3A09" w:rsidRDefault="007B3A09" w:rsidP="007B3A09">
      <w:pPr>
        <w:pStyle w:val="ListParagraph"/>
        <w:numPr>
          <w:ilvl w:val="1"/>
          <w:numId w:val="4"/>
        </w:numPr>
        <w:rPr>
          <w:b/>
          <w:bCs/>
        </w:rPr>
      </w:pPr>
      <w:r>
        <w:t>List of participants</w:t>
      </w:r>
    </w:p>
    <w:p w14:paraId="2FEA307D" w14:textId="31330158" w:rsidR="007B3A09" w:rsidRPr="007B3A09" w:rsidRDefault="007B3A09" w:rsidP="007B3A09">
      <w:pPr>
        <w:pStyle w:val="ListParagraph"/>
        <w:numPr>
          <w:ilvl w:val="1"/>
          <w:numId w:val="4"/>
        </w:numPr>
        <w:rPr>
          <w:b/>
          <w:bCs/>
        </w:rPr>
      </w:pPr>
      <w:r>
        <w:t>Summary of training with learning objectives and session details</w:t>
      </w:r>
    </w:p>
    <w:p w14:paraId="59891BD1" w14:textId="4AAB6E4C" w:rsidR="007B3A09" w:rsidRPr="00730827" w:rsidRDefault="007B3A09" w:rsidP="007B3A09">
      <w:pPr>
        <w:pStyle w:val="ListParagraph"/>
        <w:numPr>
          <w:ilvl w:val="1"/>
          <w:numId w:val="4"/>
        </w:numPr>
        <w:rPr>
          <w:b/>
          <w:bCs/>
        </w:rPr>
      </w:pPr>
      <w:r>
        <w:t>Evaluations</w:t>
      </w:r>
    </w:p>
    <w:p w14:paraId="12D04A6E" w14:textId="1258C3AC" w:rsidR="00730827" w:rsidRPr="00ED6F61" w:rsidRDefault="00730827" w:rsidP="00730827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Participants can request a copy of </w:t>
      </w:r>
      <w:r w:rsidR="004F1742">
        <w:t xml:space="preserve">the </w:t>
      </w:r>
      <w:r>
        <w:t>CE certificate within 5 years of the event</w:t>
      </w:r>
    </w:p>
    <w:p w14:paraId="75F765C7" w14:textId="1ACDA004" w:rsidR="00ED6F61" w:rsidRPr="003125C3" w:rsidRDefault="00ED6F61" w:rsidP="00730827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All information is maintained in a confidential manner with password protection </w:t>
      </w:r>
      <w:r w:rsidR="00F974C1">
        <w:t>on HIPAA compliant record keeping software</w:t>
      </w:r>
    </w:p>
    <w:p w14:paraId="5539F74F" w14:textId="7F49AFF7" w:rsidR="003125C3" w:rsidRDefault="003125C3" w:rsidP="003125C3">
      <w:pPr>
        <w:rPr>
          <w:b/>
          <w:bCs/>
        </w:rPr>
      </w:pPr>
      <w:r>
        <w:rPr>
          <w:b/>
          <w:bCs/>
        </w:rPr>
        <w:t xml:space="preserve">Compliance </w:t>
      </w:r>
    </w:p>
    <w:p w14:paraId="4DB0850A" w14:textId="042F4EB8" w:rsidR="003125C3" w:rsidRDefault="007D6361" w:rsidP="007D6361">
      <w:pPr>
        <w:pStyle w:val="ListParagraph"/>
        <w:numPr>
          <w:ilvl w:val="0"/>
          <w:numId w:val="6"/>
        </w:numPr>
      </w:pPr>
      <w:r>
        <w:t>All programs offered are done so in full compliance with all regulations and requirements of any credentialing body offering credit for attendance</w:t>
      </w:r>
      <w:r w:rsidR="00D56E14">
        <w:t>, as well as in accordance with ethical and legal requirements both of the state in which the program is offered as well as the licensing body of the presenter(s)</w:t>
      </w:r>
    </w:p>
    <w:p w14:paraId="6FDDBACB" w14:textId="77777777" w:rsidR="0071170D" w:rsidRDefault="007E0DCD" w:rsidP="007D6361">
      <w:pPr>
        <w:pStyle w:val="ListParagraph"/>
        <w:numPr>
          <w:ilvl w:val="0"/>
          <w:numId w:val="6"/>
        </w:numPr>
      </w:pPr>
      <w:r>
        <w:t>Accommodations as re</w:t>
      </w:r>
      <w:r w:rsidR="00802D18">
        <w:t>quired by the ADA will be offered to participants upon request</w:t>
      </w:r>
    </w:p>
    <w:p w14:paraId="4AD7ABBF" w14:textId="07B780E7" w:rsidR="007E0DCD" w:rsidRPr="007D6361" w:rsidRDefault="0071170D" w:rsidP="007D6361">
      <w:pPr>
        <w:pStyle w:val="ListParagraph"/>
        <w:numPr>
          <w:ilvl w:val="0"/>
          <w:numId w:val="6"/>
        </w:numPr>
      </w:pPr>
      <w:r>
        <w:t xml:space="preserve">No participant or attendee will be discriminated against on </w:t>
      </w:r>
      <w:r w:rsidR="00CD0C98">
        <w:t xml:space="preserve">the basis of race, age, ability status, </w:t>
      </w:r>
      <w:r w:rsidR="00C05F2C">
        <w:t xml:space="preserve">sexual orientation, </w:t>
      </w:r>
      <w:r w:rsidR="00CD0C98">
        <w:t xml:space="preserve">religion, gender identity, sex, </w:t>
      </w:r>
      <w:r w:rsidR="000E40BA">
        <w:t>creed, national origin, political/organizational affiliation,</w:t>
      </w:r>
      <w:r w:rsidR="00C05F2C">
        <w:t xml:space="preserve"> </w:t>
      </w:r>
      <w:r w:rsidR="00E22A8B">
        <w:t>or professional identification</w:t>
      </w:r>
    </w:p>
    <w:sectPr w:rsidR="007E0DCD" w:rsidRPr="007D636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3BEF" w14:textId="77777777" w:rsidR="00536160" w:rsidRDefault="00536160" w:rsidP="00FF2DE9">
      <w:pPr>
        <w:spacing w:after="0" w:line="240" w:lineRule="auto"/>
      </w:pPr>
      <w:r>
        <w:separator/>
      </w:r>
    </w:p>
  </w:endnote>
  <w:endnote w:type="continuationSeparator" w:id="0">
    <w:p w14:paraId="0B1E13C2" w14:textId="77777777" w:rsidR="00536160" w:rsidRDefault="00536160" w:rsidP="00FF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9EF0" w14:textId="77777777" w:rsidR="00536160" w:rsidRDefault="00536160" w:rsidP="00FF2DE9">
      <w:pPr>
        <w:spacing w:after="0" w:line="240" w:lineRule="auto"/>
      </w:pPr>
      <w:r>
        <w:separator/>
      </w:r>
    </w:p>
  </w:footnote>
  <w:footnote w:type="continuationSeparator" w:id="0">
    <w:p w14:paraId="14775FF1" w14:textId="77777777" w:rsidR="00536160" w:rsidRDefault="00536160" w:rsidP="00FF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219A" w14:textId="6DC0F7D7" w:rsidR="00FF2DE9" w:rsidRDefault="00FF2DE9">
    <w:pPr>
      <w:pStyle w:val="Header"/>
    </w:pPr>
    <w:r>
      <w:t>Revised 4.29.23</w:t>
    </w:r>
  </w:p>
  <w:p w14:paraId="62C5D751" w14:textId="77777777" w:rsidR="00FF2DE9" w:rsidRDefault="00FF2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48B"/>
    <w:multiLevelType w:val="hybridMultilevel"/>
    <w:tmpl w:val="E040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C88"/>
    <w:multiLevelType w:val="hybridMultilevel"/>
    <w:tmpl w:val="CB8C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249F6"/>
    <w:multiLevelType w:val="hybridMultilevel"/>
    <w:tmpl w:val="4096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7C36"/>
    <w:multiLevelType w:val="hybridMultilevel"/>
    <w:tmpl w:val="FEAC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E5CC0"/>
    <w:multiLevelType w:val="hybridMultilevel"/>
    <w:tmpl w:val="F3F4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64B5"/>
    <w:multiLevelType w:val="hybridMultilevel"/>
    <w:tmpl w:val="6806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185565">
    <w:abstractNumId w:val="2"/>
  </w:num>
  <w:num w:numId="2" w16cid:durableId="748575612">
    <w:abstractNumId w:val="4"/>
  </w:num>
  <w:num w:numId="3" w16cid:durableId="350568248">
    <w:abstractNumId w:val="1"/>
  </w:num>
  <w:num w:numId="4" w16cid:durableId="927154475">
    <w:abstractNumId w:val="3"/>
  </w:num>
  <w:num w:numId="5" w16cid:durableId="947617373">
    <w:abstractNumId w:val="0"/>
  </w:num>
  <w:num w:numId="6" w16cid:durableId="1582061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79"/>
    <w:rsid w:val="000E40BA"/>
    <w:rsid w:val="00117F64"/>
    <w:rsid w:val="001326F0"/>
    <w:rsid w:val="00170499"/>
    <w:rsid w:val="001D67E4"/>
    <w:rsid w:val="0025541E"/>
    <w:rsid w:val="002B1BA0"/>
    <w:rsid w:val="003125C3"/>
    <w:rsid w:val="003144B5"/>
    <w:rsid w:val="00355E69"/>
    <w:rsid w:val="003E1C68"/>
    <w:rsid w:val="0042191D"/>
    <w:rsid w:val="00443526"/>
    <w:rsid w:val="004C4150"/>
    <w:rsid w:val="004F1742"/>
    <w:rsid w:val="00536160"/>
    <w:rsid w:val="005E76D7"/>
    <w:rsid w:val="006007B9"/>
    <w:rsid w:val="00665FDD"/>
    <w:rsid w:val="006C1079"/>
    <w:rsid w:val="0071170D"/>
    <w:rsid w:val="00712CBC"/>
    <w:rsid w:val="00730827"/>
    <w:rsid w:val="007A79B8"/>
    <w:rsid w:val="007B3A09"/>
    <w:rsid w:val="007D6361"/>
    <w:rsid w:val="007E0DCD"/>
    <w:rsid w:val="00802D18"/>
    <w:rsid w:val="00866135"/>
    <w:rsid w:val="00901F5A"/>
    <w:rsid w:val="009400B3"/>
    <w:rsid w:val="00971FA0"/>
    <w:rsid w:val="009A2234"/>
    <w:rsid w:val="009A76E1"/>
    <w:rsid w:val="009C6CA6"/>
    <w:rsid w:val="009E49A9"/>
    <w:rsid w:val="00A35186"/>
    <w:rsid w:val="00A42F7F"/>
    <w:rsid w:val="00A708BD"/>
    <w:rsid w:val="00A82D63"/>
    <w:rsid w:val="00B95DB3"/>
    <w:rsid w:val="00BC77F3"/>
    <w:rsid w:val="00C053D5"/>
    <w:rsid w:val="00C05F2C"/>
    <w:rsid w:val="00C33899"/>
    <w:rsid w:val="00C609E2"/>
    <w:rsid w:val="00C953A2"/>
    <w:rsid w:val="00CB2D7F"/>
    <w:rsid w:val="00CD0C98"/>
    <w:rsid w:val="00CE2F25"/>
    <w:rsid w:val="00D56E14"/>
    <w:rsid w:val="00D72267"/>
    <w:rsid w:val="00D75E28"/>
    <w:rsid w:val="00DC7249"/>
    <w:rsid w:val="00E22A8B"/>
    <w:rsid w:val="00E5120D"/>
    <w:rsid w:val="00EC0A01"/>
    <w:rsid w:val="00EC11B6"/>
    <w:rsid w:val="00ED6F61"/>
    <w:rsid w:val="00EE4FD0"/>
    <w:rsid w:val="00F83A5A"/>
    <w:rsid w:val="00F974C1"/>
    <w:rsid w:val="00FC22AB"/>
    <w:rsid w:val="00FD67F6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17289"/>
  <w15:chartTrackingRefBased/>
  <w15:docId w15:val="{D7D6CFBA-A04C-4825-9E66-9575943F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1B6"/>
    <w:rPr>
      <w:color w:val="605E5C"/>
      <w:shd w:val="clear" w:color="auto" w:fill="E1DFDD"/>
    </w:rPr>
  </w:style>
  <w:style w:type="character" w:customStyle="1" w:styleId="icontype">
    <w:name w:val="icontype"/>
    <w:basedOn w:val="DefaultParagraphFont"/>
    <w:rsid w:val="00170499"/>
  </w:style>
  <w:style w:type="paragraph" w:styleId="Header">
    <w:name w:val="header"/>
    <w:basedOn w:val="Normal"/>
    <w:link w:val="HeaderChar"/>
    <w:uiPriority w:val="99"/>
    <w:unhideWhenUsed/>
    <w:rsid w:val="00FF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DE9"/>
  </w:style>
  <w:style w:type="paragraph" w:styleId="Footer">
    <w:name w:val="footer"/>
    <w:basedOn w:val="Normal"/>
    <w:link w:val="FooterChar"/>
    <w:uiPriority w:val="99"/>
    <w:unhideWhenUsed/>
    <w:rsid w:val="00FF2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DrSarahEWrigh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bcc@nbc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@aas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Wise</dc:creator>
  <cp:keywords/>
  <dc:description/>
  <cp:lastModifiedBy>Sarah Wise</cp:lastModifiedBy>
  <cp:revision>59</cp:revision>
  <dcterms:created xsi:type="dcterms:W3CDTF">2023-04-27T00:59:00Z</dcterms:created>
  <dcterms:modified xsi:type="dcterms:W3CDTF">2023-05-09T16:16:00Z</dcterms:modified>
</cp:coreProperties>
</file>